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41765" w14:textId="68EE03A8" w:rsidR="00B80959" w:rsidRDefault="00970C02">
      <w:r>
        <w:t>28</w:t>
      </w:r>
      <w:r w:rsidRPr="00970C02">
        <w:rPr>
          <w:vertAlign w:val="superscript"/>
        </w:rPr>
        <w:t>th</w:t>
      </w:r>
      <w:r>
        <w:t xml:space="preserve"> May 2020 – Track and Trace </w:t>
      </w:r>
    </w:p>
    <w:p w14:paraId="0E0F40B7" w14:textId="7A32698B" w:rsidR="00970C02" w:rsidRDefault="00970C02"/>
    <w:p w14:paraId="59E8E8B4" w14:textId="77777777" w:rsidR="000525AF" w:rsidRPr="000525AF" w:rsidRDefault="000525AF" w:rsidP="000525AF">
      <w:pPr>
        <w:shd w:val="clear" w:color="auto" w:fill="FFFFFF"/>
        <w:rPr>
          <w:rFonts w:ascii="Tahoma" w:eastAsia="Times New Roman" w:hAnsi="Tahoma" w:cs="Tahoma"/>
          <w:color w:val="212121"/>
          <w:sz w:val="23"/>
          <w:szCs w:val="23"/>
          <w:lang w:eastAsia="en-GB"/>
        </w:rPr>
      </w:pPr>
      <w:r w:rsidRPr="000525AF">
        <w:rPr>
          <w:rFonts w:ascii="Calibri" w:eastAsia="Times New Roman" w:hAnsi="Calibri" w:cs="Calibri"/>
          <w:b/>
          <w:bCs/>
          <w:i/>
          <w:iCs/>
          <w:color w:val="212121"/>
          <w:sz w:val="22"/>
          <w:szCs w:val="22"/>
          <w:lang w:eastAsia="en-GB"/>
        </w:rPr>
        <w:t>How will test and trace work if someone is wearing PPE?</w:t>
      </w:r>
    </w:p>
    <w:p w14:paraId="57342D23" w14:textId="77777777" w:rsidR="000525AF" w:rsidRPr="000525AF" w:rsidRDefault="000525AF" w:rsidP="000525AF">
      <w:pPr>
        <w:shd w:val="clear" w:color="auto" w:fill="FFFFFF"/>
        <w:rPr>
          <w:rFonts w:ascii="Tahoma" w:eastAsia="Times New Roman" w:hAnsi="Tahoma" w:cs="Tahoma"/>
          <w:color w:val="212121"/>
          <w:sz w:val="23"/>
          <w:szCs w:val="23"/>
          <w:lang w:eastAsia="en-GB"/>
        </w:rPr>
      </w:pPr>
      <w:r w:rsidRPr="000525AF">
        <w:rPr>
          <w:rFonts w:ascii="Calibri" w:eastAsia="Times New Roman" w:hAnsi="Calibri" w:cs="Calibri"/>
          <w:i/>
          <w:iCs/>
          <w:color w:val="212121"/>
          <w:sz w:val="22"/>
          <w:szCs w:val="22"/>
          <w:lang w:eastAsia="en-GB"/>
        </w:rPr>
        <w:t>People working in health and social care professional roles who have correctly used Personal Protective Equipment (PPE) as part of their employment are not considered to be a close contact (page 10)</w:t>
      </w:r>
    </w:p>
    <w:p w14:paraId="07B47933" w14:textId="77777777" w:rsidR="000525AF" w:rsidRPr="000525AF" w:rsidRDefault="000525AF" w:rsidP="000525AF">
      <w:pPr>
        <w:shd w:val="clear" w:color="auto" w:fill="FFFFFF"/>
        <w:rPr>
          <w:rFonts w:ascii="Tahoma" w:eastAsia="Times New Roman" w:hAnsi="Tahoma" w:cs="Tahoma"/>
          <w:color w:val="212121"/>
          <w:sz w:val="23"/>
          <w:szCs w:val="23"/>
          <w:lang w:eastAsia="en-GB"/>
        </w:rPr>
      </w:pPr>
      <w:r w:rsidRPr="000525AF">
        <w:rPr>
          <w:rFonts w:ascii="Calibri" w:eastAsia="Times New Roman" w:hAnsi="Calibri" w:cs="Calibri"/>
          <w:i/>
          <w:iCs/>
          <w:color w:val="212121"/>
          <w:sz w:val="22"/>
          <w:szCs w:val="22"/>
          <w:lang w:eastAsia="en-GB"/>
        </w:rPr>
        <w:t> </w:t>
      </w:r>
    </w:p>
    <w:p w14:paraId="319A5911" w14:textId="77777777" w:rsidR="000525AF" w:rsidRPr="000525AF" w:rsidRDefault="000525AF" w:rsidP="000525AF">
      <w:pPr>
        <w:shd w:val="clear" w:color="auto" w:fill="FFFFFF"/>
        <w:rPr>
          <w:rFonts w:ascii="Tahoma" w:eastAsia="Times New Roman" w:hAnsi="Tahoma" w:cs="Tahoma"/>
          <w:color w:val="212121"/>
          <w:sz w:val="23"/>
          <w:szCs w:val="23"/>
          <w:lang w:eastAsia="en-GB"/>
        </w:rPr>
      </w:pPr>
      <w:r w:rsidRPr="000525AF">
        <w:rPr>
          <w:rFonts w:ascii="Calibri" w:eastAsia="Times New Roman" w:hAnsi="Calibri" w:cs="Calibri"/>
          <w:b/>
          <w:bCs/>
          <w:i/>
          <w:iCs/>
          <w:color w:val="212121"/>
          <w:sz w:val="22"/>
          <w:szCs w:val="22"/>
          <w:lang w:eastAsia="en-GB"/>
        </w:rPr>
        <w:t>NHS (e.g. hospital) setting:</w:t>
      </w:r>
    </w:p>
    <w:p w14:paraId="0957BC38" w14:textId="77777777" w:rsidR="000525AF" w:rsidRPr="000525AF" w:rsidRDefault="000525AF" w:rsidP="000525AF">
      <w:pPr>
        <w:shd w:val="clear" w:color="auto" w:fill="FFFFFF"/>
        <w:rPr>
          <w:rFonts w:ascii="Tahoma" w:eastAsia="Times New Roman" w:hAnsi="Tahoma" w:cs="Tahoma"/>
          <w:color w:val="212121"/>
          <w:sz w:val="23"/>
          <w:szCs w:val="23"/>
          <w:lang w:eastAsia="en-GB"/>
        </w:rPr>
      </w:pPr>
      <w:r w:rsidRPr="000525AF">
        <w:rPr>
          <w:rFonts w:ascii="Calibri" w:eastAsia="Times New Roman" w:hAnsi="Calibri" w:cs="Calibri"/>
          <w:i/>
          <w:iCs/>
          <w:color w:val="212121"/>
          <w:sz w:val="22"/>
          <w:szCs w:val="22"/>
          <w:lang w:eastAsia="en-GB"/>
        </w:rPr>
        <w:t>If someone who works in – or has recently visited – a health or social care setting (e.g. a hospital or care home) tests positive for coronavirus, their case will be escalated to local public health experts, who will liaise with the relevant setting to agree on the most appropriate action. If they were wearing PPE at the time of the contact, this will not count as a contact. (page 4)</w:t>
      </w:r>
    </w:p>
    <w:p w14:paraId="05DC580F" w14:textId="77777777" w:rsidR="000525AF" w:rsidRPr="000525AF" w:rsidRDefault="000525AF" w:rsidP="000525AF">
      <w:pPr>
        <w:shd w:val="clear" w:color="auto" w:fill="FFFFFF"/>
        <w:rPr>
          <w:rFonts w:ascii="Tahoma" w:eastAsia="Times New Roman" w:hAnsi="Tahoma" w:cs="Tahoma"/>
          <w:color w:val="212121"/>
          <w:sz w:val="23"/>
          <w:szCs w:val="23"/>
          <w:lang w:eastAsia="en-GB"/>
        </w:rPr>
      </w:pPr>
      <w:r w:rsidRPr="000525AF">
        <w:rPr>
          <w:rFonts w:ascii="Calibri" w:eastAsia="Times New Roman" w:hAnsi="Calibri" w:cs="Calibri"/>
          <w:color w:val="212121"/>
          <w:sz w:val="22"/>
          <w:szCs w:val="22"/>
          <w:lang w:eastAsia="en-GB"/>
        </w:rPr>
        <w:t> </w:t>
      </w:r>
    </w:p>
    <w:p w14:paraId="712AF543" w14:textId="77777777" w:rsidR="000525AF" w:rsidRPr="000525AF" w:rsidRDefault="000525AF" w:rsidP="000525AF">
      <w:pPr>
        <w:shd w:val="clear" w:color="auto" w:fill="FFFFFF"/>
        <w:rPr>
          <w:rFonts w:ascii="Tahoma" w:eastAsia="Times New Roman" w:hAnsi="Tahoma" w:cs="Tahoma"/>
          <w:color w:val="212121"/>
          <w:sz w:val="23"/>
          <w:szCs w:val="23"/>
          <w:lang w:eastAsia="en-GB"/>
        </w:rPr>
      </w:pPr>
      <w:r w:rsidRPr="000525AF">
        <w:rPr>
          <w:rFonts w:ascii="Calibri" w:eastAsia="Times New Roman" w:hAnsi="Calibri" w:cs="Calibri"/>
          <w:color w:val="212121"/>
          <w:sz w:val="22"/>
          <w:szCs w:val="22"/>
          <w:lang w:eastAsia="en-GB"/>
        </w:rPr>
        <w:t> </w:t>
      </w:r>
    </w:p>
    <w:p w14:paraId="181005ED" w14:textId="77777777" w:rsidR="000525AF" w:rsidRPr="000525AF" w:rsidRDefault="000525AF" w:rsidP="000525AF">
      <w:pPr>
        <w:shd w:val="clear" w:color="auto" w:fill="FFFFFF"/>
        <w:rPr>
          <w:rFonts w:ascii="Tahoma" w:eastAsia="Times New Roman" w:hAnsi="Tahoma" w:cs="Tahoma"/>
          <w:color w:val="212121"/>
          <w:sz w:val="23"/>
          <w:szCs w:val="23"/>
          <w:lang w:eastAsia="en-GB"/>
        </w:rPr>
      </w:pPr>
      <w:r w:rsidRPr="000525AF">
        <w:rPr>
          <w:rFonts w:ascii="Calibri" w:eastAsia="Times New Roman" w:hAnsi="Calibri" w:cs="Calibri"/>
          <w:color w:val="1F497D"/>
          <w:sz w:val="22"/>
          <w:szCs w:val="22"/>
          <w:lang w:eastAsia="en-GB"/>
        </w:rPr>
        <w:t>Darryl Thompson</w:t>
      </w:r>
    </w:p>
    <w:p w14:paraId="39C00EDE" w14:textId="77777777" w:rsidR="000525AF" w:rsidRPr="000525AF" w:rsidRDefault="000525AF" w:rsidP="000525AF">
      <w:pPr>
        <w:shd w:val="clear" w:color="auto" w:fill="FFFFFF"/>
        <w:rPr>
          <w:rFonts w:ascii="Tahoma" w:eastAsia="Times New Roman" w:hAnsi="Tahoma" w:cs="Tahoma"/>
          <w:color w:val="212121"/>
          <w:sz w:val="23"/>
          <w:szCs w:val="23"/>
          <w:lang w:eastAsia="en-GB"/>
        </w:rPr>
      </w:pPr>
      <w:r w:rsidRPr="000525AF">
        <w:rPr>
          <w:rFonts w:ascii="Calibri" w:eastAsia="Times New Roman" w:hAnsi="Calibri" w:cs="Calibri"/>
          <w:color w:val="1F497D"/>
          <w:sz w:val="22"/>
          <w:szCs w:val="22"/>
          <w:lang w:eastAsia="en-GB"/>
        </w:rPr>
        <w:t>Deputy Director of Nursing &amp; Quality Governance</w:t>
      </w:r>
    </w:p>
    <w:p w14:paraId="18073637" w14:textId="77777777" w:rsidR="000525AF" w:rsidRPr="000525AF" w:rsidRDefault="000525AF" w:rsidP="000525AF">
      <w:pPr>
        <w:shd w:val="clear" w:color="auto" w:fill="FFFFFF"/>
        <w:rPr>
          <w:rFonts w:ascii="Tahoma" w:eastAsia="Times New Roman" w:hAnsi="Tahoma" w:cs="Tahoma"/>
          <w:color w:val="212121"/>
          <w:sz w:val="23"/>
          <w:szCs w:val="23"/>
          <w:lang w:eastAsia="en-GB"/>
        </w:rPr>
      </w:pPr>
      <w:r w:rsidRPr="000525AF">
        <w:rPr>
          <w:rFonts w:ascii="Calibri" w:eastAsia="Times New Roman" w:hAnsi="Calibri" w:cs="Calibri"/>
          <w:color w:val="1F497D"/>
          <w:sz w:val="22"/>
          <w:szCs w:val="22"/>
          <w:lang w:eastAsia="en-GB"/>
        </w:rPr>
        <w:t>Derbyshire Healthcare NHS Foundation Trust</w:t>
      </w:r>
    </w:p>
    <w:p w14:paraId="7B07FB1E" w14:textId="67B78E1B" w:rsidR="00970C02" w:rsidRDefault="00970C02">
      <w:pPr>
        <w:pBdr>
          <w:bottom w:val="single" w:sz="12" w:space="1" w:color="auto"/>
        </w:pBdr>
      </w:pPr>
    </w:p>
    <w:p w14:paraId="7C262289" w14:textId="5E07DAB4" w:rsidR="000525AF" w:rsidRDefault="000525AF"/>
    <w:p w14:paraId="6E5E0BD2" w14:textId="77777777" w:rsidR="000525AF" w:rsidRDefault="000525AF">
      <w:bookmarkStart w:id="0" w:name="_GoBack"/>
      <w:bookmarkEnd w:id="0"/>
    </w:p>
    <w:sectPr w:rsidR="000525AF" w:rsidSect="00E55E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2"/>
    <w:rsid w:val="000525AF"/>
    <w:rsid w:val="000C2520"/>
    <w:rsid w:val="00970C02"/>
    <w:rsid w:val="00E55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6E6672"/>
  <w15:chartTrackingRefBased/>
  <w15:docId w15:val="{F2257C36-47CE-654A-BFD3-C1F1A6D0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259983">
      <w:bodyDiv w:val="1"/>
      <w:marLeft w:val="0"/>
      <w:marRight w:val="0"/>
      <w:marTop w:val="0"/>
      <w:marBottom w:val="0"/>
      <w:divBdr>
        <w:top w:val="none" w:sz="0" w:space="0" w:color="auto"/>
        <w:left w:val="none" w:sz="0" w:space="0" w:color="auto"/>
        <w:bottom w:val="none" w:sz="0" w:space="0" w:color="auto"/>
        <w:right w:val="none" w:sz="0" w:space="0" w:color="auto"/>
      </w:divBdr>
      <w:divsChild>
        <w:div w:id="1132408184">
          <w:marLeft w:val="0"/>
          <w:marRight w:val="0"/>
          <w:marTop w:val="0"/>
          <w:marBottom w:val="0"/>
          <w:divBdr>
            <w:top w:val="none" w:sz="0" w:space="0" w:color="auto"/>
            <w:left w:val="none" w:sz="0" w:space="0" w:color="auto"/>
            <w:bottom w:val="none" w:sz="0" w:space="0" w:color="auto"/>
            <w:right w:val="none" w:sz="0" w:space="0" w:color="auto"/>
          </w:divBdr>
        </w:div>
        <w:div w:id="2036543530">
          <w:marLeft w:val="0"/>
          <w:marRight w:val="0"/>
          <w:marTop w:val="0"/>
          <w:marBottom w:val="0"/>
          <w:divBdr>
            <w:top w:val="none" w:sz="0" w:space="0" w:color="auto"/>
            <w:left w:val="none" w:sz="0" w:space="0" w:color="auto"/>
            <w:bottom w:val="none" w:sz="0" w:space="0" w:color="auto"/>
            <w:right w:val="none" w:sz="0" w:space="0" w:color="auto"/>
          </w:divBdr>
        </w:div>
        <w:div w:id="1058361681">
          <w:marLeft w:val="0"/>
          <w:marRight w:val="0"/>
          <w:marTop w:val="0"/>
          <w:marBottom w:val="0"/>
          <w:divBdr>
            <w:top w:val="none" w:sz="0" w:space="0" w:color="auto"/>
            <w:left w:val="none" w:sz="0" w:space="0" w:color="auto"/>
            <w:bottom w:val="none" w:sz="0" w:space="0" w:color="auto"/>
            <w:right w:val="none" w:sz="0" w:space="0" w:color="auto"/>
          </w:divBdr>
        </w:div>
        <w:div w:id="618537716">
          <w:marLeft w:val="0"/>
          <w:marRight w:val="0"/>
          <w:marTop w:val="0"/>
          <w:marBottom w:val="0"/>
          <w:divBdr>
            <w:top w:val="none" w:sz="0" w:space="0" w:color="auto"/>
            <w:left w:val="none" w:sz="0" w:space="0" w:color="auto"/>
            <w:bottom w:val="none" w:sz="0" w:space="0" w:color="auto"/>
            <w:right w:val="none" w:sz="0" w:space="0" w:color="auto"/>
          </w:divBdr>
        </w:div>
        <w:div w:id="173307551">
          <w:marLeft w:val="0"/>
          <w:marRight w:val="0"/>
          <w:marTop w:val="0"/>
          <w:marBottom w:val="0"/>
          <w:divBdr>
            <w:top w:val="none" w:sz="0" w:space="0" w:color="auto"/>
            <w:left w:val="none" w:sz="0" w:space="0" w:color="auto"/>
            <w:bottom w:val="none" w:sz="0" w:space="0" w:color="auto"/>
            <w:right w:val="none" w:sz="0" w:space="0" w:color="auto"/>
          </w:divBdr>
        </w:div>
        <w:div w:id="1468359829">
          <w:marLeft w:val="0"/>
          <w:marRight w:val="0"/>
          <w:marTop w:val="0"/>
          <w:marBottom w:val="0"/>
          <w:divBdr>
            <w:top w:val="none" w:sz="0" w:space="0" w:color="auto"/>
            <w:left w:val="none" w:sz="0" w:space="0" w:color="auto"/>
            <w:bottom w:val="none" w:sz="0" w:space="0" w:color="auto"/>
            <w:right w:val="none" w:sz="0" w:space="0" w:color="auto"/>
          </w:divBdr>
        </w:div>
        <w:div w:id="1462265724">
          <w:marLeft w:val="0"/>
          <w:marRight w:val="0"/>
          <w:marTop w:val="0"/>
          <w:marBottom w:val="0"/>
          <w:divBdr>
            <w:top w:val="none" w:sz="0" w:space="0" w:color="auto"/>
            <w:left w:val="none" w:sz="0" w:space="0" w:color="auto"/>
            <w:bottom w:val="none" w:sz="0" w:space="0" w:color="auto"/>
            <w:right w:val="none" w:sz="0" w:space="0" w:color="auto"/>
          </w:divBdr>
        </w:div>
        <w:div w:id="749153337">
          <w:marLeft w:val="0"/>
          <w:marRight w:val="0"/>
          <w:marTop w:val="0"/>
          <w:marBottom w:val="0"/>
          <w:divBdr>
            <w:top w:val="none" w:sz="0" w:space="0" w:color="auto"/>
            <w:left w:val="none" w:sz="0" w:space="0" w:color="auto"/>
            <w:bottom w:val="none" w:sz="0" w:space="0" w:color="auto"/>
            <w:right w:val="none" w:sz="0" w:space="0" w:color="auto"/>
          </w:divBdr>
        </w:div>
        <w:div w:id="542136084">
          <w:marLeft w:val="0"/>
          <w:marRight w:val="0"/>
          <w:marTop w:val="0"/>
          <w:marBottom w:val="0"/>
          <w:divBdr>
            <w:top w:val="none" w:sz="0" w:space="0" w:color="auto"/>
            <w:left w:val="none" w:sz="0" w:space="0" w:color="auto"/>
            <w:bottom w:val="none" w:sz="0" w:space="0" w:color="auto"/>
            <w:right w:val="none" w:sz="0" w:space="0" w:color="auto"/>
          </w:divBdr>
        </w:div>
        <w:div w:id="103156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699</Characters>
  <Application>Microsoft Office Word</Application>
  <DocSecurity>0</DocSecurity>
  <Lines>5</Lines>
  <Paragraphs>1</Paragraphs>
  <ScaleCrop>false</ScaleCrop>
  <Company>PVH Consultancy Ltd</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Hasler</dc:creator>
  <cp:keywords/>
  <dc:description/>
  <cp:lastModifiedBy>Peter Hasler</cp:lastModifiedBy>
  <cp:revision>2</cp:revision>
  <dcterms:created xsi:type="dcterms:W3CDTF">2020-05-28T16:37:00Z</dcterms:created>
  <dcterms:modified xsi:type="dcterms:W3CDTF">2020-05-28T16:38:00Z</dcterms:modified>
</cp:coreProperties>
</file>